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</w:t>
      </w:r>
      <w:r>
        <w:rPr>
          <w:rFonts w:hint="eastAsia" w:ascii="ＭＳ 明朝" w:hAnsi="ＭＳ 明朝"/>
          <w:color w:val="000000" w:themeColor="text1"/>
          <w:spacing w:val="0"/>
          <w:sz w:val="22"/>
        </w:rPr>
        <w:t>の１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渋川市長　様</w:t>
      </w:r>
    </w:p>
    <w:p>
      <w:pPr>
        <w:pStyle w:val="21"/>
        <w:ind w:firstLine="5060" w:firstLineChars="2300"/>
        <w:rPr>
          <w:rFonts w:hint="eastAsia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0"/>
          <w:u w:val="single" w:color="auto"/>
        </w:rPr>
        <w:t>所在地　　　</w:t>
      </w:r>
      <w:r>
        <w:rPr>
          <w:rFonts w:hint="eastAsia" w:ascii="ＭＳ 明朝" w:hAnsi="ＭＳ 明朝"/>
          <w:spacing w:val="0"/>
          <w:u w:val="single" w:color="auto"/>
        </w:rPr>
        <w:t xml:space="preserve"> </w:t>
      </w:r>
      <w:r>
        <w:rPr>
          <w:rFonts w:hint="eastAsia" w:ascii="ＭＳ 明朝" w:hAnsi="ＭＳ 明朝"/>
          <w:spacing w:val="0"/>
          <w:u w:val="single" w:color="auto"/>
        </w:rPr>
        <w:t>　　　　　　　　</w:t>
      </w:r>
      <w:r>
        <w:rPr>
          <w:rFonts w:hint="eastAsia" w:ascii="ＭＳ 明朝" w:hAnsi="ＭＳ 明朝"/>
          <w:spacing w:val="0"/>
          <w:u w:val="single" w:color="auto"/>
        </w:rPr>
        <w:t xml:space="preserve"> </w:t>
      </w:r>
    </w:p>
    <w:p>
      <w:pPr>
        <w:pStyle w:val="21"/>
        <w:ind w:firstLine="5060" w:firstLineChars="2300"/>
        <w:rPr>
          <w:rFonts w:hint="eastAsia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0"/>
          <w:u w:val="single" w:color="auto"/>
        </w:rPr>
        <w:t>商号又は名称　　</w:t>
      </w:r>
      <w:r>
        <w:rPr>
          <w:rFonts w:hint="eastAsia" w:ascii="ＭＳ 明朝" w:hAnsi="ＭＳ 明朝"/>
          <w:spacing w:val="0"/>
          <w:u w:val="single" w:color="auto"/>
        </w:rPr>
        <w:t xml:space="preserve"> </w:t>
      </w:r>
      <w:r>
        <w:rPr>
          <w:rFonts w:hint="eastAsia" w:ascii="ＭＳ 明朝" w:hAnsi="ＭＳ 明朝"/>
          <w:spacing w:val="0"/>
          <w:u w:val="single" w:color="auto"/>
        </w:rPr>
        <w:t>　　　　　　</w:t>
      </w:r>
      <w:r>
        <w:rPr>
          <w:rFonts w:hint="eastAsia" w:ascii="ＭＳ 明朝" w:hAnsi="ＭＳ 明朝"/>
          <w:spacing w:val="0"/>
          <w:u w:val="single" w:color="auto"/>
        </w:rPr>
        <w:t xml:space="preserve"> </w:t>
      </w:r>
    </w:p>
    <w:p>
      <w:pPr>
        <w:pStyle w:val="21"/>
        <w:tabs>
          <w:tab w:val="left" w:leader="none" w:pos="9214"/>
        </w:tabs>
        <w:ind w:left="2200" w:hanging="2200" w:hangingChars="1000"/>
        <w:rPr>
          <w:rFonts w:hint="eastAsia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0"/>
        </w:rPr>
        <w:t xml:space="preserve">                            </w:t>
      </w:r>
      <w:r>
        <w:rPr>
          <w:rFonts w:hint="eastAsia" w:ascii="ＭＳ 明朝" w:hAnsi="ＭＳ 明朝"/>
          <w:spacing w:val="0"/>
        </w:rPr>
        <w:t>　　　　　　　　　</w:t>
      </w:r>
      <w:r>
        <w:rPr>
          <w:rFonts w:hint="eastAsia" w:ascii="ＭＳ 明朝" w:hAnsi="ＭＳ 明朝"/>
          <w:spacing w:val="0"/>
          <w:u w:val="single" w:color="auto"/>
        </w:rPr>
        <w:t>代表者氏名　</w:t>
      </w:r>
      <w:r>
        <w:rPr>
          <w:rFonts w:hint="eastAsia" w:ascii="ＭＳ 明朝" w:hAnsi="ＭＳ 明朝"/>
          <w:spacing w:val="0"/>
          <w:u w:val="single" w:color="auto"/>
        </w:rPr>
        <w:t xml:space="preserve">                </w:t>
      </w:r>
      <w:r>
        <w:rPr>
          <w:rFonts w:hint="eastAsia" w:ascii="ＭＳ 明朝" w:hAnsi="ＭＳ 明朝"/>
          <w:spacing w:val="0"/>
          <w:u w:val="single" w:color="auto"/>
        </w:rPr>
        <w:t>㊞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財務状況確認書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b w:val="1"/>
          <w:sz w:val="22"/>
        </w:rPr>
        <w:t>　　</w:t>
      </w:r>
      <w:r>
        <w:rPr>
          <w:rFonts w:hint="eastAsia"/>
          <w:sz w:val="22"/>
        </w:rPr>
        <w:t>（単位：千円）</w:t>
      </w:r>
    </w:p>
    <w:tbl>
      <w:tblPr>
        <w:tblStyle w:val="1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924"/>
        <w:gridCol w:w="493"/>
        <w:gridCol w:w="1418"/>
        <w:gridCol w:w="1103"/>
        <w:gridCol w:w="456"/>
        <w:gridCol w:w="1418"/>
        <w:gridCol w:w="1417"/>
      </w:tblGrid>
      <w:tr>
        <w:trPr/>
        <w:tc>
          <w:tcPr>
            <w:tcW w:w="4395" w:type="dxa"/>
            <w:gridSpan w:val="4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資産の部</w:t>
            </w:r>
          </w:p>
        </w:tc>
        <w:tc>
          <w:tcPr>
            <w:tcW w:w="4394" w:type="dxa"/>
            <w:gridSpan w:val="4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負債の部</w:t>
            </w: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科目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前々期</w:t>
            </w:r>
          </w:p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前期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科目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前期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</w:tr>
      <w:tr>
        <w:trPr>
          <w:trHeight w:val="366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【流動資産】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【流動負債】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現金預金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短期借入金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受取手形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【固定負債】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売掛金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長期借入金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【固定資産】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負債の部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合計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（有形資産）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純資産の部</w:t>
            </w: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（無形資産）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【株主資本】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（投資その他）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資本剰余金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利益剰余金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評価・換算差額等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純資産合計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資産合計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負債・純資産合計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8789" w:type="dxa"/>
            <w:gridSpan w:val="8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科　目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前々期</w:t>
            </w: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前期</w:t>
            </w: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売上高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売上原価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売上総利益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販売費及び一般管理費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営業利益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営業外収益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営業外費用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経常利益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特別利益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特別損失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税引前当期純損益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当期純損益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※書式及び勘定科目については適宜追加してください。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【流動比率】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流動資産（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流動負債（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流動比率　　　　　　　　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流動資産（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流動負債（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流動比率　　　　　　　　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【当座比率】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当座資産（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流動負債（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当座比率　　　　　　　　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当座資産（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流動負債（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当座比率　　　　　　　　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【自己資本比率】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自己資本（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資産合計（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自己資本比率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自己資本（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資産合計（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自己資本比率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【固定比率】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固定資産（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自己資本（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固定比率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固定資産（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自己資本（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固定比率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【固定長期適合率】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固定資産合計（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千円）÷〔固定負債合計（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千円）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＋純資産合計（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</w:rPr>
        <w:t>千円）〕×１００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固定長期適合率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固定資産合計（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千円）÷〔固定負債合計（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千円）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＋純資産合計（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</w:rPr>
        <w:t>千円）〕×１００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固定長期適合率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【負債比率】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〔流動負債（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固定負債（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千円）〕</w:t>
      </w:r>
    </w:p>
    <w:p>
      <w:pPr>
        <w:pStyle w:val="0"/>
        <w:spacing w:line="360" w:lineRule="auto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÷自己資本（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千円）×１００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負債比率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〔流動負債（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固定負債（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千円）〕</w:t>
      </w:r>
    </w:p>
    <w:p>
      <w:pPr>
        <w:pStyle w:val="0"/>
        <w:spacing w:line="360" w:lineRule="auto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÷自己資本（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千円）×１００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負債比率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spacing w:line="360" w:lineRule="auto"/>
        <w:rPr>
          <w:rFonts w:hint="eastAsia"/>
          <w:sz w:val="22"/>
          <w:u w:val="none" w:color="auto"/>
        </w:rPr>
      </w:pPr>
      <w:r>
        <w:rPr>
          <w:rFonts w:hint="eastAsia"/>
          <w:sz w:val="22"/>
        </w:rPr>
        <w:t>【ＥＢＩＴＤＡ】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営業利益（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減価償却費（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ＥＢＩＴＤＡ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千円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営業利益（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減価償却費（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ＥＢＩＴＤＡ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千円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bookmarkStart w:id="0" w:name="_GoBack"/>
      <w:bookmarkEnd w:id="0"/>
    </w:p>
    <w:sectPr>
      <w:foot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7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3</Pages>
  <Words>0</Words>
  <Characters>799</Characters>
  <Application>JUST Note</Application>
  <Lines>201</Lines>
  <Paragraphs>105</Paragraphs>
  <CharactersWithSpaces>1496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2020-07-08T00:48:46Z</cp:lastPrinted>
  <dcterms:created xsi:type="dcterms:W3CDTF">2019-06-21T00:39:00Z</dcterms:created>
  <dcterms:modified xsi:type="dcterms:W3CDTF">2023-05-25T07:29:30Z</dcterms:modified>
  <cp:revision>3</cp:revision>
</cp:coreProperties>
</file>